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A37C0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Convenção Coletiva De Trabalho 2021/2022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A37C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7A37C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A37C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RJ001791/2022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A37C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7A37C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A37C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15/08/2022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A37C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7A37C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A37C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MR033700/2022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A37C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7A37C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A37C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19980.111390/2022-06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A37C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7A37C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A37C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04/07/2022 </w:t>
                        </w:r>
                      </w:p>
                    </w:tc>
                  </w:tr>
                </w:tbl>
                <w:p w:rsidR="00000000" w:rsidRDefault="007A37C0">
                  <w:pPr>
                    <w:rPr>
                      <w:rFonts w:eastAsia="Times New Roman"/>
                    </w:rPr>
                  </w:pPr>
                </w:p>
                <w:p w:rsidR="00000000" w:rsidRDefault="007A37C0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000000" w:rsidRDefault="007A37C0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SINDICATO DOS PRATICOS TECNICOS E AUXILIARES DE FARMACIA E EMPREGADOS NO COMERCIO DE DROGAS,MEDICAMENTOS E PRODUTOS FARMACEUTICOS DO RJ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, CNPJ n. 02.415.645/0001-10, neste ato representado(a) por seu 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SINDICATO COMERCIO ATACADISTA DROGAS MEDICAMENTOS ERJ, CNPJ n. 34.046.821/0001-80, neste ato representado(a) por seu 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celebram a presente CONVENÇÃO COLETIVA DE TRABALHO, estipuland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as condições de trabalho previstas nas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fixam a vigência da presente Convenção Coletiva de Trabalho no período de 01º de novembro de 2021 a 31 de dezembro de 2022 e a data-base da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categoria em 01º de novembro.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 presente Convenção Coletiva de Trabalho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Categoria(s) Profissional dos Empregados que tenham vínculo empregatício com micro, pequenas, médias e grandes empresas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enquadradas nas seguintes atividades econômicas: No comércio atacadista de drogas, medicamentos e produtos farmacêuticos, homeopáticos, fitoterápicos, insumos farmacêuticos e produtos magistrais; Vendedores de produtos farmacêuticos; Empregados balconista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 (inclusive auxiliares e técnicos de farmácias); vendedores comissionistas ou não; empregados no cargo de gerente, subgerente, auxiliar, técnico, supervisor, conferente, estoquista, repositor, atendente, almoxarife, faxineiro, caixa, vigia, cobrador, auxi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liar de serviços gerais, motorista entregador de medicamentos a domicílio, empregados em escritório com vínculo empregatício na categoria profissional representada pela entidade sindical; empregados em geral que tenham vínculo empregatício no comércio atac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adista de drogas, medicamentos, produtos farmacêuticos, homeopáticos, alopáticos, insumos farmacêuticos, manipulações e afins; e todos os empregados de outras funções componentes e pertencentes à categoria preponderante do Sindicato, com abrangência territ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orial em Rio de Janeiro/RJ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Rio de Janeiro/RJ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PISO SALARIAL DA CATEGORIA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Fica garantido aos integrantes da categoria profissional do Rio de Janeiro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reajuste no piso salarial de 10% (dez por cento), em 02 (duas) parcelas, ambas calculadas pelo piso salarial vigente em outubro de 2021, de R$ 1.424,19.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- Piso salarial de R$ 1.509,64 ( hum mil quinhentos nove reais e sessenta e quatro centavos ) a vigora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 no período de 01/11/2021 até 30/04/2022.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-  Piso salarial de R$ 1.566,62 ( hum mil quinhentos e sessenta e seis reais e sessenta e dois centavos ) a vigorar  no período de 01/05/2022 a 31/10/2022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Reajustes/Correções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QUARTA - REA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JUSTE PARA TRABALHADORES QUE PERCEBEM ACIMA DO PISO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Para os empregados integrantes da categoria profissional que recebem salário mensal acima do piso da categoria, fica concedido a partir de 01/11/2021 um reajuste de 9% (nove por cento) nos termos do pa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rágrafo seguinte.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Único: As empresas concederão o reajuste previsto no caput desta cláusula em 02         ( duas ) parcelas, ambas calculadas sobre o salário vigente em 31 de Outubro de 2021, sendo: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I - A partir de 1° de Novembro de 2021: Apl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icação do percentual de 4,5% (quatro vírgula cinco por cento) baseado no salário recebido em 31 de Outubro de 2021;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II - A partir de 1° de Maio de 2022: Aplicação do percentual de 4,5% (quatro vírgula cinco por cento), somando-se o valor resultante ao sa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lário reajustado em 31 de Outubro de 2021, portanto essa segunda parcela não será retroativa a 1° de Novembro de 2021, surtindo efeitos a partir de 1° de Maio de 2022.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REMUNERAÇÃO VARIÁVEL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Para os empregados que recebem salá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rios mistos o percentual de reajuste estabelecido na cláusula quarta, incidirá sobre a parte fixa do salário, ficando assegurado aos empregados que recebe remuneração variável, salário fixo nunca inferior ao mínimo da categoria.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 Fo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PAGAMENTOS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pagamento dos salários deverá ser efetuado até o quinto dia útil do mês seguinte ao vencido, sob pena de multa equivalente a 15% (quinze por cento) do salário normativo de efetivação em vigor, devido por mê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de atraso a contar do dia em que for devido o salário até o efetivo pagamento, revertida a multa em favor do empregado prejudicado.    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RECIBO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pagamento do salário será feito mediante recibo ou depósito bancário, com cópia para 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empregado, a qual deverá constar a identificação da empresa e do empregado, a remuneração, com a discriminação das parcelas pagas, a quantia líquida, os dias trabalhados ou o total de produção, as horas extras e os descontos efetuados, inclusive para a Pr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evidência Social e o valor do depósito do FGTS.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Gratificações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OITAVA - QUEBRA DE CAIXA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exercentes de função de caixa terão essa função especificamente anotada na C.T.P.S. e será ass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egurada mensalmente, uma gratificação de 10% (dez por cento) sobre o piso salarial da categoria a título de quebra de caixa, que será pago juntamente com os seus salários e que a este integram para efeito de cálculo de 13º salário, férias, FGTS e verbas 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scisórias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Hora-Extra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NONA - HORAS EXTRAORDINÁRIAS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horas extras prestadas durante a vigência da presente norma coletiva de trabalho serão remuneradas com adicional de 50% (cinquenta por cento) do valor normal. Domingos e fe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riados com adicional de 100% (cem por cento).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PARÁGRAFO ÚNICO: Para os empregados inseridos no regime de escala de revezamento, não será aplicado o adicional de 100% (cem por cento) para o trabalho realizado aos domingos e feriados e desde que concedido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à folga compensatória.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Comissões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CLÁUSULA DÉCIMA - COMISSIONISTAS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Todo empregado que recebe comissões deverá ter anotado na sua CTPS a condição de comissionista, assim como o percentual de comissões a receber e sobre o que irá incidir o referido 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ercentual.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PRIMEIRO: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cálculo para pagamento de férias, décimos terceiros, salários e aviso prévio dos comissionistas obedecerá à média dos últimos 12 (doze) meses das comissões recebidas.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Prêmios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PRIMEIRA - PRÊMIOS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Serão pagos mensalmente aos empregados com 10 (dez) anos de serviço prestados na mesma empresa um prêmio de 10% (dez por cento) do piso normativo, que também incidirá sobre 13º salário e férias.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PRIMEIRO: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 ato da rescisão contratual será pa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go um piso normativo a todo funcionário que tiver mais de 10 (dez) anos de serviço ininterruptos, na mesma empresa.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SEGUNDA - REFEIÇÃO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É obrigatório que as empresas que não possuam refeitórios próprios e adequado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e não forneçam alimentação aos seus empregados, concedam vale refeição no valor mínimo de R$ 35,54 (trinta cinco reais e cinqüenta e quatro centavos), ficando asseguradas eventuais condições mais favoráveis praticadas pelas empresas.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Saúde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LÁUSULA DÉCIMA TERCEIRA - PLANO DE SAÚDE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 xml:space="preserve">É facultativo à empresa oferecer plano de saúde ou assistência médica. No caso de optar pela concessão deste benefício, o mesmo será assegurado na ocorrência de auxílio-doença acidentário ou de aposentadoria por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invalidez, nos termos da Súmula nº 440 do TST.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PRIMEIRO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Nos casos em que se exigir contribuição do empregado para o custeio do plano de saúde, e este não repassar sua parte à empresa nos respectivos meses de contribuição, a empresa poderá arc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ar com a cota-parte do empregado durante seu período de afastamento e descontar a integralidade das contribuições efetuadas através das seguintes formas: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a)       parceladamente, após o retorno do empregado às suas atividades; ou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b)       por ocasião da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rescisão do contrato de trabalho, deduzindo-a integralmente do saldo das verbas rescisórias.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SEGUNDO.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Caso ainda haja saldo remanescente devido à empresa após a dedução das verbas rescisórias, tal montante poderá ser cobrado pela empresa at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ravés das medidas judiciais cabíveis.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PARÁGRAFO TERCEIRO.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empregados afastados sujeitar-se-ão às mesmas políticas de concessão de plano de saúde praticada pela empresa para os empregados ativos, estando, pois, suscetíveis a eventuais mudanç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na política ocorridas no decorrer do afastamento.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QUARTO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Nos casos em que houver a utilização do plano de saúde ou assistência médica de forma ilícita e/ou em prejuízo ao empregador, a empresa poderá suspender imediatamente a concessão des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te benefício.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QUINTO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empresa poderá cancelar o plano de saúde ou assistência médica do empregado que faltar ao trabalho injustificadamente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. 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DÉCIMA QUARTA - PLANO DE ASSISTÊNCIA ODONTOLÓGICA E INTERMEDIAÇÃO E ADMINISTRAÇÃO ELETRÔ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NIC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Empresas, quando devidamente autorizadas por seus empregados  por  escrito, considerando os benefícios de saúde oral e médica para os associados, em caráter primordial preventivo, segundo orientações técnicas indicativas de saúde vigentes, deverã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fazer o desconto mensal de R$ 35,00 (trinta e cinco reais), referente ao Plano Combo supramencionado.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PRIMEIRO –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pagamento do Plano de Assistência Odontológica e Intermediação e Administração de Saúde – Plano Combo será através de guia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de cobrança bancária, emitida pelo Sindicato Laboral, estipulante e gestor da apólice firmada com a Operadora W.DENTAL Planos Odontológicos S.A. e a Empresa W. SAÚDE ASSIST Benefícios Ltda.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SEGUNDO –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Os boletos referentes ao valor previsto no 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aput desta cláusula, serão enviados para as empresas pelo Sindifarma-RJ até o dia 15 de cada mês, devidamente preenchidos, juntamente com a autorização assinada pelo associado, para serem descontados em folha de pagamento. As empresas descontarão e repassa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rão através do referido boleto os valores descontados dos associados até o dia 10 (dez) do mês seguinte.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Doença/Invalidez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QUINTA - AUXÍLIO DOENÇA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Ao empregado que retornar do auxílio-doença, garante-se o emprego  por 30 (tri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nta) dias a partir da alta previdenciária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.  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Morte/Funeral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SEXTA - AUXÍLIO FUNERAL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No caso de falecimento do empregado com mais de 05 (cinco) anos na empresa ou de seu cônjuge, será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pago ao beneficiário legal, dois salá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rios mínimos a título de auxílio funeral, mediante contra apresentação do atestado de óbito. 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Seguro de Vida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SÉTIMA - SEGURO DE VIDA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se obrigam a fazer um seguro de vida para os empregados da categoria que trabalham como ciclistas, motociclistas ou motoristas, no valor de 20 (vinte) salários mínimos.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Contrato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 Admissão, Demissão, Modalidades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Desligamento/De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missão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OITAVA - LEI 7.238/84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obrigam-se a respeitar a lei 7.238/84, que estabelece o pagamento do valor equivalente a mais 01 salário aos empregados demitidos nos 30 dias que antecedem a data base da categoria (01 de novem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bro), observando as Súmulas 314 e 182 do TST.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ttulo31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ÚNICO: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Para efeitos de aplicação desta cláusula, será computado como tempo de serviço o aviso prévio, quando trabalhado, ou sua projeção, quando indenizado, logo, não haverá incidência da multa se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, mesmo com a projeção, tal data não atingir os 30 dias que antecedem a data base da categoria, considerando inclusive a condição de aviso prévio proporcional da lei 12.506/11.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 Condições de Trabalho, Normas de Pessoal e Estabilida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Mãe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NONA - GESTANTE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garantido estabilidade de emprego à gestante desde a confirmação da gravidez até 05 (cinco) meses após o parto, assegurando condições mais benéficas às empregadas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Estabilidade Aposentador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 xml:space="preserve">CLÁUSULA VIGÉSIMA - 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 garantida  estabilidade aos empregados  com mais de (10) dez anos  na Empresa que estejam em vias de se aposentar, entendendo-se nesta situação os que restarem (12) doze meses para sua efetivação.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Outras n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ormas de pessoal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PRIMEIRA - CONFERÊNCIA DE CAIXA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 conferência de valores de caixa será realizada na presença do empregado responsável. Quando este for impedido pela empresa de acompanhar a conferência, ficará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isento de qualquer responsabilidade por erros verificados.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SEGUNDA - CHEQUES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somente poderão descontar do empregado caixa ou balconista,  valores das mercadorias pagas com cheques devolvidos por insuficiência de fundos ou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outro motivo, desde que não sejam obedecidas as normas estabelecidas pelas empresas, as quais tenha sido dada ciência por escrito ao empregado.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TERCEIRA - FUNCIONAMENTO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Somente será permitido o funcionamento das empresas aos domingo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e feriados nos termos da legislação vigente (Lei 13.467/2017).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 Duração, Distribuição,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Prorrogação/Redução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QUARTA - BANCO DE HORAS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duração normal de trabalho dos empregados 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ntegrantes de categoria profissional concernente poderá ser acrescida de horas suplementares e banco de horas, o qual poderá ser negociado entre empregado e empregador, nos termos a seguir: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PRIMEIRO:                  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acréscimo do salário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correspondente às horas suplementares será dispensado, quando o excesso de horas em um dia for compensado pela correspondente diminuição em outro dia, de maneira que não exceda no período máximo de 90 (noventa) dias, à soma das jornadas de trabalho ajustad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com o empregado, respeitados os limites máximos de 10 (dez) horas diárias, previstos na legislação vigente.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SEGUNDO: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Ao término de cada período de 90 (noventa) dias, será verificado o total de horas trabalhadas e o total de horas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compensadas. Havendo débito do empregado para com a empresa, as horas não trabalhadas serão abonadas e consideradas como tempo à disposição do empregador. Havendo crédito do empregado para com a empresa, as horas não compensadas no período serão computadas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e pagas no mês do fechamento  com os acréscimos de no mínimo os previstos na cláusula nona deste instrumento.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TERCEIRO: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Na hipótese de o empregado solicitar demissão antes do fechamento do período, será contabilizado o total de horas trabalhad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e o total de horas compensadas. Se houver débito de horas do empregado para com a empresa, as horas não trabalhadas serão descontadas das verbas que o empregado tiver na rescisão, à razão de 50% do total por ele devido. Se houver crédito a favor do empr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egado, as horas não compensadas serão computadas com o adicional de horas extras devidas e pagas juntamente com as verbas rescisórias.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QUARTO: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Havendo rescisão de contrato por iniciativa da empresa, antes do fechamento do período, será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contabilizado o total de horas trabalhadas e o total de horas compensadas, se houver débito de horas do empregado para com a empresa, as horas não trabalhadas serão abonadas, sem qualquer desconto nas verbas a que o empregado tiver direito na rescisão. No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entanto, se houver crédito a favor do empregado as horas não compensadas serão computadas com adicional de horas extras devidas.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Faltas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CLÁUSULA VIGÉSIMA QUINTA - FALTAS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Serão abonadas as faltas dos empregados estudantes para prestação de exames em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escolas oficiais ou reconhecidas, desde que as comunicações sejam feitas com 48 horas de antecedência e posterior comprovação, em havendo conflito de horário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SEXTA - ESCALAS DE REVEZAMENTO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resas, obedecendo a critérios próprios, poderão criar escalas de revezamento mensal, com alternância nos horários de início e término das jornadas, com vistas a evitar que seja ultrapassado o limite de jornada de 8 horas diárias ou de 44 horas semanais,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sde que esta alteração não resulte em prejuízo ao empregado, na tentativa de geração de novos empregos.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SÉTIMA - COINCIDÊNCIA DAS FÉRIAS COM A ÉPOCA DO CASAMENTO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facultado ao empregado gozar as suas férias no período coincidente com a época de seu casamento, desde que faça tal comunicação à empresa com 60 (sessenta) dias de antecedência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Saúde e Segurança do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Uniforme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SIMA OITAVA - UNIFORME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Quando o uso do uniforme for obrigatório, a empresa fornecerá ao empregado todo material concernente a esta obrigatoriedade, sem ônus para o empregado.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Contribuições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VIGÉSIMA NONA - DE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SCONTO ASSISTENCIAL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As empresas, quando devidamente autorizadas por seus empregados por escrito, descontarão do pagamento de seus funcionários associados ao Sindifarma-RJ antigo (Sinprafarma-RJ) no mês de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julho/2022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a importância de R$ 38,00 (trinta e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oito reais), parcela única, o qual reverterá para custear a Participação do Sindifarma – RJ nas negociações salariais, com a devida assistência e pagará ao Sindifarma RJ, através de boleto enviado pelo o próprio, com vencimento em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10/08/2022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 assim em ven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cimentos sucessivos acordados em alusão às sucessivas efetivações das citadas autorizações dos respectivos empregados. A falta desse recolhimento sujeitará a multa automática de 2% (dois por cento) por mês calendário ou fração, e atualização monetária pelo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fator que vigore à época.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- CONTRIBUIÇÃO NEGOCIAL DOS EMPREGADOS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As Empresas, quando devidamente autorizadas por seus empregados por escrito e em virtude do Sindicato dos Práticos, Técnicos e Auxiliares de Farmácia e Empregados no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Comércio de Drogas, Medicamentos e Produtos Farmacêuticos do Rio de Janeiro terem discutido e aprovado com os associados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o desconto anual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em assembleia para esta convenção coletiva de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2021-2022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, deverão fazer desconto anual de seus empregados ao Sindifarma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RJ, antigo SINPRAFARMA-RJ, o valor correspondente a R$ 38,00 (trinta e oito reais), com vencimento em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10 / 05 / 2022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e assim em vencimentos sucessivos acordados em alusão às sucessivas efetivações das citadas autorizações dos respectivos empregados. Tais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valores deverão ser pagos através de boletos bancários, que serão enviados pelo Sindifarma-RJ; a falta desse recolhimento sujeitará a empresa à multa automática de 2% (dois por cento).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Primeiro –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contribuiçã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acima mencionada tem por finalidade repor os gastos despendidos pela entidade laboral com a promoção da campanha salarial, com a garantia e manutenção da prestação de serviços e outras despesas em geral, concernentemente ao SINDIFARMA-RJ;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Seg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undo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: Os boletos a que se refere no caput desta cláusula, serão enviados para as empresas pelo Sindifarma-RJ, devidamente preenchidos, juntamente com a devida autorização assinada pelo associado para serem descontados em folha de pagamento, e as empresas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escontarão e pagarão os valores descontados dos associados até o dia 10 / 05 / 2022.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Terceiro: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Sindifarma-RJ enviará a listagem atualizada do seu quadro de associados com as respectivas autorizações assinadas, à respectivas empresas que os 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sociados trabalham, com destaque na empresa que o empregado trabalha, bem como o CNPJ das titulares.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Quarto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: A desassociação do empregado deverá ser realizada na sede do Sindifarma-RJ, pessoalmente ou por meio eletrônico através do e-mail     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                             &lt;&lt; </w:t>
                  </w:r>
                  <w:hyperlink r:id="rId4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 xml:space="preserve">sindicatofarmacia2020@bol.com.br </w:t>
                    </w:r>
                  </w:hyperlink>
                  <w:r>
                    <w:rPr>
                      <w:rFonts w:ascii="Arial" w:hAnsi="Arial" w:cs="Arial"/>
                      <w:sz w:val="21"/>
                      <w:szCs w:val="21"/>
                    </w:rPr>
                    <w:t>&gt;&gt;, devendo o associado estar munido da          carteira de trabalho e previdência social ou digitalizá-la no formato PDF-A, caso a desassociação seja por meio el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etrônico. Sendo certo de que os descontos serão cessados imediatamente.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Quinto: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Fica estipulado que o empregado poderá optar a ser associado do Sindicato, no momento de sua contratação e, neste caso, passando a gozar, a partir da associação,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todos os benefícios oferecidos pela entidade. O mesmo procedimento deverá ser adotado em relação aos empregados da empresa já registrados no quadro de funcionários, além dos associados a este sindicato.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Sexto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: As empresas deverão ter sobre sua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guarda o documento autorizando o referido desconto, estando os mesmos a disposição do sindicato laboral, que poderão solicitar uma cópia.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Sétimo: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Quaisquer divergências, esclarecimentos ou dúvidas quanto ao “caput” desta cláusula deverão ser 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ratados diretamente com o sindicato dos empregados (Sindifarma-RJ), Rua Teófilo Otoni, 113, Sala 05, Centro, Rio de Janeiro.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Oitavo: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deverão informar o Sindifarma-RJ através do e-mail  &lt;&lt;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sindicatofarmacia20</w:t>
                    </w:r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20@bol.com.br&gt;&gt;,</w:t>
                    </w:r>
                  </w:hyperlink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caso haja desligamento de algum empregado que seja associado ao Sindifarma-RJ, a fim de atualizar o quadro associativo, evitando assim, a cobrança de multas tratadas em cláusulas anteriores.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PRIMEIRA - DA CONTRIBUIÇÃO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NEGOCIAL PATRONAL DOS EMPREGADORES PARA FAZER FACE AS DESPE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Conforme deliberação da Assembleia Geral do Sindicato patronal, e de acordo com o disposto no inciso XXVI do art. 7º e dos incisos III e IV do art. 8º, ambos da Constituição Federal e forte ain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da nas decisões do Supremo Tribunal Federal proferida nos processos -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AI 499.046 AgR/SP e AI 401.709 AgR/ES, a qual firmou entendimento no sentido de que “a matéria relativa à contribuição assistencial não tem porte constitucional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” convalidando, assim, a 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orma incerta no art. 513, letra “e” da CLT, todas as empresas que exercem atividades representadas pelo SINDICATO DO COMÉRCIO ATACADISTA DE DROGAS E MEDICAMENTOS DO ESTADO DO RIO DE JANEIROrecolherão, junto a rede bancária, em favor deste, mediante guia 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ser fornecida por este.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87"/>
                    <w:gridCol w:w="4328"/>
                    <w:gridCol w:w="1380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 </w:t>
                        </w:r>
                      </w:p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LINHA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 </w:t>
                        </w:r>
                      </w:p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CLASSE DE CAPITAL SOCIAL (em R$)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 </w:t>
                        </w:r>
                      </w:p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Forte"/>
                          </w:rPr>
                          <w:t>VALOR (R$)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t> </w:t>
                        </w:r>
                      </w:p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000000" w:rsidRDefault="007A37C0">
                        <w:pPr>
                          <w:pStyle w:val="NormalWeb"/>
                        </w:pPr>
                        <w:r>
                          <w:rPr>
                            <w:rStyle w:val="Forte"/>
                          </w:rPr>
                          <w:t> </w:t>
                        </w:r>
                      </w:p>
                      <w:p w:rsidR="00000000" w:rsidRDefault="007A37C0">
                        <w:pPr>
                          <w:pStyle w:val="NormalWeb"/>
                        </w:pPr>
                        <w:r>
                          <w:rPr>
                            <w:rStyle w:val="Forte"/>
                          </w:rPr>
                          <w:t>De 0,01 a 26.879,25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t> 285,78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t> </w:t>
                        </w:r>
                      </w:p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t>02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000000" w:rsidRDefault="007A37C0">
                        <w:pPr>
                          <w:pStyle w:val="NormalWeb"/>
                        </w:pPr>
                        <w:r>
                          <w:rPr>
                            <w:rStyle w:val="Forte"/>
                          </w:rPr>
                          <w:t>De 26.879,26 a 53.758,50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t>388,58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lastRenderedPageBreak/>
                          <w:t> </w:t>
                        </w:r>
                      </w:p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t>03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000000" w:rsidRDefault="007A37C0">
                        <w:pPr>
                          <w:pStyle w:val="NormalWeb"/>
                        </w:pPr>
                        <w:r>
                          <w:rPr>
                            <w:rStyle w:val="Forte"/>
                          </w:rPr>
                          <w:t>De 53.758,51 a 537.585,00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t>491,38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t> </w:t>
                        </w:r>
                      </w:p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t>04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000000" w:rsidRDefault="007A37C0">
                        <w:pPr>
                          <w:pStyle w:val="NormalWeb"/>
                        </w:pPr>
                        <w:r>
                          <w:rPr>
                            <w:rStyle w:val="Forte"/>
                          </w:rPr>
                          <w:t>De 537.585,01 a 53.758.500,00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t>1.025,94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t> </w:t>
                        </w:r>
                      </w:p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000000" w:rsidRDefault="007A37C0">
                        <w:pPr>
                          <w:pStyle w:val="NormalWeb"/>
                        </w:pPr>
                        <w:r>
                          <w:rPr>
                            <w:rStyle w:val="Forte"/>
                          </w:rPr>
                          <w:t>De 53.758.500,01 a 286.712.000,00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t>6.579,20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t> </w:t>
                        </w:r>
                      </w:p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t>06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000000" w:rsidRDefault="007A37C0">
                        <w:pPr>
                          <w:pStyle w:val="NormalWeb"/>
                        </w:pPr>
                        <w:r>
                          <w:rPr>
                            <w:rStyle w:val="Forte"/>
                          </w:rPr>
                          <w:t>De 286.712.000,01 em diante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000000" w:rsidRDefault="007A37C0">
                        <w:pPr>
                          <w:pStyle w:val="NormalWeb"/>
                          <w:jc w:val="center"/>
                        </w:pPr>
                        <w:r>
                          <w:t>12.336,00</w:t>
                        </w:r>
                      </w:p>
                    </w:tc>
                  </w:tr>
                </w:tbl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PRIMEIRO:   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pagamento relativo à Contribuição Assistencial Patronal deverá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ser efetuado no dia 10 de maio de 2022 e o valor deverá ser recolhido conforme a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Tabela acima.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SEGUNDO: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Quaisquer divergências, esclarecimentos ou dúvidas quanto ao “caput” desta cláusula deverã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ser tratados exclusivamente e diretamente com o sindicato PATRONAL, que assume toda e qualquer responsabilidade em relação à cláusula.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representação e organização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SEGUNDA - FERIADO DA CLASSE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dia dos Práticos de Farmácia é comemorado na terceira segunda-feira do mês de outubro, ficando facultado o funcionamento dos estabelecimentos comerciais de Drogas, Medicamentos e Produtos Farmacêuticos do Rio de Janeiro, garantindo a seus empregados a 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muneração para todos os efeitos legais, inclusive o repouso semanal remunerado.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Regras para a Negociação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TERCEIRA - NEGOCIAÇÕES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Sindicatos ora convenentes poderão desenvolver negociações sobre as cláusula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ajustadas, podendo estabelecer outras condições de trabalho, inclusive a realização de acordos individuais de trabalho com as empresas.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QUARTA - SISTEMA ALTERNATIVO DE CONTROLE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Com base na Portaria / MTP nº 671 / 2021,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os estabelecimentos que possuírem até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20 empregados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poderão adotar sistemas alternativos de controle de jornada de trabalho, como o mecânico ou o manual, para todos os seus empregados ou para parte deles, mediante a celebração de termo de adesão a Convençã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Coletiva de Trabalho vigente.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PRIMEIRO: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poderão celebrar com o SINDICATO DOS PRÁTICOS, TÉCNICOS E AUXILIARES  DE FARMÁCIA E DOS EMPREGADOS NO COMÉRCIO DE DROGAS, MEDICAMENTOS E PRODUTOS FARMACÊUTICOS DO RIO DE JANEIRO Acordo Col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etivo de Trabalho - ACT, com assistência do SINDICATO DO COMÉRCIO ATACADISTA DE DROGAS E MEDICAMENTOS  DO ESTADO DO RIO DE JANEIRO, visando à adoção de sistemas alternativos eletrônicos que não devem admitir: restrições à marcação do ponto; marcação automá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tica do ponto; exigência de autorização prévia para marcação de sobrejornada; e a alteração ou eliminação de dados registrados pelo empregado.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SEGUNDO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: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Para fins de fiscalização, os sistemas alternativos eletrônicos deverão estar disponíveis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no local de trabalho; permitir a identificação do empregador e do empregado; e possibilitar, através da central de dados, a extração eletrônica e impressa do registro fiel das marcações realizadas pelo empregado. O empregador fornecerá mensalmente o regist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ro das marcações aos empregados que o solicitarem.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TERCEIRO: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descumprimento das normas estabelecidas nesta cláusula invalidará o Termo de Adesão mencionado nos parágrafos anteriores.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Mecanismos de Solução de Conflitos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TRIGÉSIM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 QUINTA - DOS SERVIÇOS DE ADVOCACIA TRABALHISTA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fim de manter o setor jurídico do sindicato, a título exclusivamente de honorários advocatícios, em favor do corpo jurídico do sindicato laboral, serã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recolhidos 20% (vinte por cento) sobre os ganhos processuais de qualquer empregado assistido pelos advogados do Sindifarma-RJ.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PRIMEIRO –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Nas ações propostas/assistidas pelo Sindifarma-RJ, que não tenham valor econômico, o assistido deverá paga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 em favor do corpo jurídico do Sindicato Laboral, a quantia de R$ 200,00 (duzentos reais), devendo tal pagamento ser realizado no início do processo.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SEXTA - CUMPRIMENTO DAS CLÁUSULAS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fim de fazer cumprir as cláusulas da presente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Convenção, fica autorizado o Sindicato dos Empregados a ingressar na Justiça do Trabalho.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ÚNICO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: Havendo qualquer divergência quanto às cláusulas previstas nesta convenção, deverá o empregado comunicar expressamente o Sindicato Laboral na tent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ativa de solucionar o litígio extrajudicialmente.  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SÉTIMA - NEGOCIADO SOBRE LEGISLADO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Havendo necessidade de alteração ou revisão do conteúdo das cláusulas para melhor adequação a legislação vigente, sendo esta por motivo de medida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provisórias publicadas posteriormente à homologação desta Convenção Coletiva de Trabalho no MTE, as partes concordam com as alterações desde que, elas não tragam prejuízo para as Entidades Sindicais, prevalecendo o Negociado sobre o Legislado.</w:t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Parágrafo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Único: Caso haja algum tipo de Medida Provisória publicada após a homologação desta Convenção ao MTE, que altere o custeio Sindical e seja mais benéfico para a estrutura Sindical, esta Convenção Coletiva de Trabalho adotará esta medida provisória após a pu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blicação da mesma.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OITAVA - ACESSOS AOS ASSOCIADOS EM AÇÃO CONJUNTA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Devido a Pandemia, com a perda do contato com os Associados, os Sindicatos, ora convenentes, se comprometem a partir desta CCT 2021/2022, em ação conjuta de articul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ações, viabilizar acessibilidade junto aos respectivos Recursos Humanos específicos, no sentido de autorizarem o contato com os Associados para implementação de ações, visando explanações da nova gestão da Atividade Sindical do SINDIFARMA RJ e seus assunto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 conexos, tudo previamente combinado e em melhores horários de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conveniência para ambos.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NONA - UNICIDADE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e os empregados abrangidos pelo presente instrumento, cujos Sindicatos assinam, obs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ervando o princípio constitucional da unicidade sindical reconhecem reciprocamente os respectivos sindicatos, uns aos outros, como únicos e legítimos representantes das respectivas categorias, para entendimentos, assinaturas de acordos ou instrumentos lega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is que envolvam a categoria, sob pena de nulidade.</w:t>
                  </w:r>
                </w:p>
                <w:p w:rsidR="00000000" w:rsidRDefault="007A37C0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116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A37C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OSTELIO SABARA DA SILVA FILHO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Membro de Diretoria Colegiada </w:t>
                        </w:r>
                        <w:r>
                          <w:rPr>
                            <w:rFonts w:eastAsia="Times New Roman"/>
                          </w:rPr>
                          <w:br/>
                          <w:t>SINDICATO DOS PRATICOS TECNICOS E AUXILIARES DE FARMACIA E EMPREGADOS NO COMERCIO DE DROGAS,MEDICAMENTOS E PRODUTOS FARMACEUTICOS DO RJ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MANOEL BIRMARCKER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COMERCIO ATACADISTA DROGAS MEDICAMENTOS ERJ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JORNAL E ASSINATURA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6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7A37C0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II - ATA AGE CCT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7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7A37C0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III - CONVENCAO COLETIVA ASSINADA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8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7A37C0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IV - SINDFARMA ATA 1-3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9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7A37C0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V - SINDFARMA ATA 4-6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10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7A37C0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VI - SINDFARMA ATA 7-9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7A37C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11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7A37C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   A autenticidade deste documento poderá ser confirmada na página do Ministério da Economia na Internet, no endereço http://www.mte.gov.br.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7A37C0">
            <w:pPr>
              <w:rPr>
                <w:rFonts w:eastAsia="Times New Roman"/>
              </w:rPr>
            </w:pPr>
          </w:p>
        </w:tc>
      </w:tr>
    </w:tbl>
    <w:p w:rsidR="007A37C0" w:rsidRDefault="007A37C0">
      <w:pPr>
        <w:rPr>
          <w:rFonts w:eastAsia="Times New Roman"/>
        </w:rPr>
      </w:pPr>
    </w:p>
    <w:sectPr w:rsidR="007A37C0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E4074A"/>
    <w:rsid w:val="007A37C0"/>
    <w:rsid w:val="00E4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ttulo31">
    <w:name w:val="ttulo31"/>
    <w:basedOn w:val="Normal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mte.gov.br/sistemas/mediador/imagemAnexo/MR033700_20222022_07_04T13_48_5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3.mte.gov.br/sistemas/mediador/imagemAnexo/MR033700_20222022_07_04T13_47_18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mte.gov.br/sistemas/mediador/imagemAnexo/MR033700_20222022_07_04T13_46_31.pdf" TargetMode="External"/><Relationship Id="rId11" Type="http://schemas.openxmlformats.org/officeDocument/2006/relationships/hyperlink" Target="http://www3.mte.gov.br/sistemas/mediador/imagemAnexo/MR033700_20222022_07_04T13_53_54.pdf" TargetMode="External"/><Relationship Id="rId5" Type="http://schemas.openxmlformats.org/officeDocument/2006/relationships/hyperlink" Target="about:blank" TargetMode="External"/><Relationship Id="rId10" Type="http://schemas.openxmlformats.org/officeDocument/2006/relationships/hyperlink" Target="http://www3.mte.gov.br/sistemas/mediador/imagemAnexo/MR033700_20222022_07_04T13_53_18.pdf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http://www3.mte.gov.br/sistemas/mediador/imagemAnexo/MR033700_20222022_07_04T13_52_35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4601</Words>
  <Characters>24847</Characters>
  <Application>Microsoft Office Word</Application>
  <DocSecurity>0</DocSecurity>
  <Lines>207</Lines>
  <Paragraphs>58</Paragraphs>
  <ScaleCrop>false</ScaleCrop>
  <Company/>
  <LinksUpToDate>false</LinksUpToDate>
  <CharactersWithSpaces>29390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Convenção Coletiva</dc:title>
  <dc:creator>Sindicato</dc:creator>
  <cp:lastModifiedBy>Sindicato</cp:lastModifiedBy>
  <cp:revision>2</cp:revision>
  <dcterms:created xsi:type="dcterms:W3CDTF">2022-08-16T13:42:00Z</dcterms:created>
  <dcterms:modified xsi:type="dcterms:W3CDTF">2022-08-16T13:42:00Z</dcterms:modified>
</cp:coreProperties>
</file>