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37E5">
                  <w:pPr>
                    <w:spacing w:after="280"/>
                    <w:jc w:val="center"/>
                    <w:rPr>
                      <w:rFonts w:ascii="Arial" w:eastAsia="Times New Roman" w:hAnsi="Arial" w:cs="Arial"/>
                      <w:cap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8"/>
                      <w:szCs w:val="28"/>
                    </w:rPr>
                    <w:t xml:space="preserve">Termo Aditivo a Convenção Coletiva De Trabalho 2015/2016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2"/>
                    <w:gridCol w:w="200"/>
                    <w:gridCol w:w="28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" w:type="dxa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RJ001004/2015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" w:type="dxa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22/06/2015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" w:type="dxa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MR025438/2015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" w:type="dxa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46215.014544/2015-29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" w:type="dxa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15/05/2015 </w:t>
                        </w:r>
                      </w:p>
                    </w:tc>
                  </w:tr>
                </w:tbl>
                <w:p w:rsidR="00000000" w:rsidRDefault="005037E5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00"/>
                    <w:gridCol w:w="200"/>
                    <w:gridCol w:w="281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NÚMERO DO PROCESSO DA CONVENÇÃO COLETIVA PRINCIPAL: </w:t>
                        </w:r>
                      </w:p>
                    </w:tc>
                    <w:tc>
                      <w:tcPr>
                        <w:tcW w:w="200" w:type="dxa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46215.018363/2014-91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200" w:type="dxa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04/09/2014 </w:t>
                        </w:r>
                      </w:p>
                    </w:tc>
                  </w:tr>
                </w:tbl>
                <w:p w:rsidR="00000000" w:rsidRDefault="005037E5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SINDICATO DOS EMPREGADOS NO COMERCIO DO RIO DE JANEIRO, CNPJ n. 33.644.360/0001-85, neste ato representado(a) por seu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Membro da Junta Governativa, Sr(a). JOSE CARLOS NUNES DOS SANTOS;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  <w:t>SINDICATO COMERCIO ATACADISTA DROGAS MEDICAMENTOS ERJ, CNPJ n. 34.046.821/0001-80, neste ato representado(a) por seu Presidente, Sr(a). MANOEL BIRMARCKER;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  <w:t>celebram o presente TERMO A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DITIVO DE CONVENÇÃO COLETIVA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As partes fixam a vigência do presente Termo Aditivo de Convenção Coletiva de Trabalho no período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de 01º de maio de 2015 a 12 de maio de 2016 e a data-base da categoria em 12 de maio.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O presente Termo Aditivo de Convenção Coletiva de Trabalho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empregados no comércio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 com abrangência territ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orial em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Miguel Pereira/RJ, Paty do Alferes/RJ e Rio de Janeiro/RJ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  <w:t xml:space="preserve">CLÁUSULA TERCEIRA - SALÁRIO BASE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Fica garantido a todos os comerciários abrangidos por este Instrumento, que apó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s 06 (seis) meses de serviço, decorridos de sua admissão, continuem recebendo salário na base do mínimo legal, um acréscimo de 10% (dez por cento).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Único: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A vantagem estabelecida na presente cláusula, excepcionalmente, será aplicável aos empregad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os admitidos até o dia 30 de abril do corrente ano.</w:t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  <w:t xml:space="preserve">CLÁUSULA QUARTA - REAJUSTE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Fica concedido, a partir de 12 de maio de 2015, a todos os comerciários do Município do Rio de Janeiro, Miguel Pereira e Paty do Alferes, abrangidos pela represent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ação do Sindicato dos empregados no comércio do Rio de Janeiro, para os salários fixos, bem como as parcelas fixas, que serão corrigidos da seguinte forma: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a)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        para os empregados que percebiam em maio de 2014 até R$ 4.700,00 (quatro mil e setecentos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reais) serão corrigidos pelo percentual de 8,34% (oito vírgula trinta e quatro), estes devidamente corrigidos pelos índices ajustados referentes ao acordo salarial no ano de 2014;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b)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       para os empregados que percebiam em maio de 2014 acima de R$ 4.700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,00 (quatro mil e setecentos reais), o percentual estabelecido na alínea “a” desta cláusula incidirá até este limite. O reajuste sobre a parcela excedente será livremente pactuado entre as partes.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Primeiro: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Aplicado o reajuste constante na alínea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“a” acima, sobre os salários corrigidos em 01 de maio de 2014 será encontrado o salário que vigorará a partir de 12 de maio do corrente ano;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Segundo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 Os empregados demitidos sem justa causa após 12 de abril de 2015, cujo aviso prévio se projete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para os efeitos do contrato de trabalho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para o mês de maio de 2015, serão beneficiados com o reajuste total ora concedido, tendo em vista a retroatividade concedida. Excluem-se desse tratamento aqueles empregados que, quando de sua demissão, foram indeniza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dos de acordo com o previsto no art. 9º da Lei 7.238/84, ou seja, o pagamento do valor equivalente a mais 1 (um) salário devido aos empregados desligados nos 30 (trinta) dias que antecedem a data base (12 de maio);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Terceiro: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O índice ora acordado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pelas partes desobrigará a categoria econômica do pagamento de quaisquer outros que venham a ser determinados por força de lei vigente ou decisão trabalhista, até abril de 2015;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Quarto: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As empresas, seguindo o uso e o costume da retroatividade 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 data-base, concederão a todos os empregados os 11 (onze) dias iniciais do mês de maio, corrigidos pelo mesmo critério estabelecido no </w:t>
                  </w:r>
                  <w:r>
                    <w:rPr>
                      <w:rStyle w:val="nfase"/>
                      <w:rFonts w:ascii="Arial" w:hAnsi="Arial" w:cs="Arial"/>
                      <w:sz w:val="28"/>
                      <w:szCs w:val="28"/>
                    </w:rPr>
                    <w:t>caput 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desta Cláusula;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Quinto: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As empresas que, por questões financeiras ou orçamentárias, estejam impossibilit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adas de efetivar o reajuste salarial previsto nesta cláusula, poderão celebrar com o SECRJ, com assistência do Sindicato do Comércio Atacadista de Drogas e Medicamentos do Estado do Rio de Janeiro, Acordo Coletivo de Trabalho que flexibilize a forma de pag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amento da correção nos salários, de modo a evitar ao máximo o desligamento de empregados;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Sexto: 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Poderão ser compensados todos os aumentos espontâneos e/ou legais havidos entre 1° de maio de 2014 e 30 de abril de 2015, com exceção do reajuste da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categoria referente à data-base de maio de 2014 e o decorrente de promoção;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Sétimo: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Os empregados admitidos após o dia 12 de maio de 2014, receberão o reajuste previsto no </w:t>
                  </w:r>
                  <w:r>
                    <w:rPr>
                      <w:rStyle w:val="nfase"/>
                      <w:rFonts w:ascii="Arial" w:hAnsi="Arial" w:cs="Arial"/>
                      <w:sz w:val="28"/>
                      <w:szCs w:val="28"/>
                    </w:rPr>
                    <w:t>caput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desta cláusula, proporcionalmente aos meses trabalhados;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O</w:t>
                  </w: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itavo: 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As empresas que até a data da assinatura deste Instrumento, não tenham concedido a seus empregados o presente reajuste, ou as que tenham feito em percentual inferior ao estabelecido no caput desta cláusula, pagarão este percentual ou sua diferença r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etroativa a maio de 2015.</w:t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  <w:t xml:space="preserve">CLÁUSULA QUINTA - CONTRIBUIÇÃO ASSISTENCIAL/NEGOCIAL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br/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Todos os empregados abrangidos por este instrumento, nos Municí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pios do Rio de Janeiro, Miguel Pereira e Paty do Alferes, destinarão dos 11 (onze) dias de trabalho que receberão a mais no mês de maio (01 a 11 de maio) de 2015, a título de bonificação, para a contribuição assistencial, na importância equivalente de R$ 9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0,00 (noventa reais), a ser dividida em 08 (oito) parcelas iguais de R$ 11,25 (onze reais e vinte e cinco centavos), cada uma, que serão descontadas compulsoriamente em folhas de pagamento pelos empregadores, nos meses de junho, julho, agosto, setembro, ou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tubro, novembro, dezembro de 2015 e no mês de janeiro de 2016, respectivamente, e recolhidas ao Sindicato dos Empregados no Comércio do Rio de Janeiro, através de guias próprias ou boleto bancário emitidos pelo SECRJ, para custear as atividades sindicais à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favor da categoria e demais obrigações de natureza assistencial e judicial em prol dos comerciários. 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color w:val="000000"/>
                    </w:rPr>
                    <w:t xml:space="preserve">Parágrafo Primeiro: </w:t>
                  </w:r>
                  <w:r>
                    <w:rPr>
                      <w:color w:val="000000"/>
                    </w:rPr>
                    <w:t>Os empregados beneficiados por esses 11 (onze) dias que se destinam a custear as Obras Sociais do Sindicato poderão declinar do des</w:t>
                  </w:r>
                  <w:r>
                    <w:rPr>
                      <w:color w:val="000000"/>
                    </w:rPr>
                    <w:t>conto para o Sindicato, em cartas escritas individuais e do próprio punho, entregues pelo mesmo na sede do Sindicato dos Empregados no Comércio do Rio de Janeiro, localizado na Rua André Cavalcanti, 33, 2º andar – Bairro de Fátima, ou em suas Subsedes.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color w:val="000000"/>
                    </w:rPr>
                    <w:t>P</w:t>
                  </w:r>
                  <w:r>
                    <w:rPr>
                      <w:rStyle w:val="Forte"/>
                      <w:color w:val="000000"/>
                    </w:rPr>
                    <w:t xml:space="preserve">arágrafo Segundo: </w:t>
                  </w:r>
                  <w:r>
                    <w:rPr>
                      <w:color w:val="000000"/>
                    </w:rPr>
                    <w:t>As empresas obrigatoriamente recolherão os quantitativos descontados de seus empregados ao SINDICATO DOS EMPREGADOS NO COMÉRCIO DO RIO DE JANEIRO, até o dia 05 de cada mês subseqüente ao desconto, as importâncias mencionadas no caput dest</w:t>
                  </w:r>
                  <w:r>
                    <w:rPr>
                      <w:color w:val="000000"/>
                    </w:rPr>
                    <w:t>a cláusula, exceto daqueles que se opuserem através de carta de próprio punho e entregue, individualmente no protocolo do Sindicato dos Empregados no Comércio do Rio de Janeiro, até o 13° dia após o depósito do requerimento de pedido de registro do present</w:t>
                  </w:r>
                  <w:r>
                    <w:rPr>
                      <w:color w:val="000000"/>
                    </w:rPr>
                    <w:t xml:space="preserve">e Instrumento de Acordo; 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color w:val="000000"/>
                    </w:rPr>
                    <w:t xml:space="preserve">Parágrafo Terceiro: </w:t>
                  </w:r>
                  <w:r>
                    <w:rPr>
                      <w:color w:val="000000"/>
                    </w:rPr>
                    <w:t xml:space="preserve">Os recolhimentos de que trata esta cláusula ficam sujeitos à multa de 10% (dez por cento), além de juros de mora de 1% (um por cento) por cada mês de atraso; 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color w:val="000000"/>
                    </w:rPr>
                    <w:t xml:space="preserve">Parágrafo Quarto: </w:t>
                  </w:r>
                  <w:r>
                    <w:rPr>
                      <w:color w:val="000000"/>
                    </w:rPr>
                    <w:t>A contribuição prevista no ca</w:t>
                  </w:r>
                  <w:r>
                    <w:rPr>
                      <w:color w:val="000000"/>
                    </w:rPr>
                    <w:t>put desta cláusula é de responsabilidade única e exclusiva do Sindicato dos Empregados, conforme deliberado em sua AGE, não tendo as empresas, nem o Sindicato Patronal, qualquer benefício ou responsabilidade, muito menos solidariedade, desde que observados</w:t>
                  </w:r>
                  <w:r>
                    <w:rPr>
                      <w:color w:val="000000"/>
                    </w:rPr>
                    <w:t xml:space="preserve"> os prescritos nos parágrafos anteriores. </w:t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lastRenderedPageBreak/>
                    <w:br/>
                    <w:t xml:space="preserve">CLÁUSULA SEXTA - CONTRIBUIÇÃO ASSISTENCIAL/NEGOCIAL PATRONAL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Todas as empresas que integram a representação do Sindicato do Comércio Atacadista de Drogas e Medicamentos do Estado do Rio de Janeiro deverão r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ecolher a contribuição abaixo, em função do número de empregados, conforme Assembléia Geral Extraordinária do dia 14 de abril de 2015, a saber:</w:t>
                  </w: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Tahoma" w:eastAsia="Times New Roman" w:hAnsi="Tahoma" w:cs="Tahoma"/>
                      <w:sz w:val="20"/>
                      <w:szCs w:val="20"/>
                    </w:rPr>
                    <w:t>empresas optantes pelo simples - R$ 180,00</w:t>
                  </w: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Tahoma" w:eastAsia="Times New Roman" w:hAnsi="Tahoma" w:cs="Tahoma"/>
                      <w:sz w:val="20"/>
                      <w:szCs w:val="20"/>
                    </w:rPr>
                    <w:t>de 01 a 50 empregados - R$ 240,00</w:t>
                  </w: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Style w:val="Forte"/>
                      <w:rFonts w:ascii="Tahoma" w:eastAsia="Times New Roman" w:hAnsi="Tahoma" w:cs="Tahoma"/>
                      <w:sz w:val="20"/>
                      <w:szCs w:val="20"/>
                    </w:rPr>
                    <w:t>e mais de 51 empregados  </w:t>
                  </w:r>
                  <w:r>
                    <w:rPr>
                      <w:rStyle w:val="Forte"/>
                      <w:rFonts w:ascii="Tahoma" w:eastAsia="Times New Roman" w:hAnsi="Tahoma" w:cs="Tahoma"/>
                      <w:sz w:val="20"/>
                      <w:szCs w:val="20"/>
                    </w:rPr>
                    <w:t>- R$ 295,00</w:t>
                  </w: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 </w:t>
                  </w:r>
                </w:p>
                <w:p w:rsidR="00000000" w:rsidRDefault="005037E5">
                  <w:pPr>
                    <w:pStyle w:val="western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Style w:val="Forte"/>
                      <w:rFonts w:ascii="Arial" w:hAnsi="Arial" w:cs="Arial"/>
                      <w:sz w:val="28"/>
                      <w:szCs w:val="28"/>
                    </w:rPr>
                    <w:t>Parágrafo Único: 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Os recolhimentos, de que trata esta Cláusula, ficarão sujeitos a multa de 2% (dois por cento), sobre o valor atualizado, além de juros de mora de 1% (hum por cento) ao mês, no caso de não serem efetuados até 15 de junho de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015.</w:t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  <w:t xml:space="preserve">CLÁUSULA SÉTIMA - DÚVIDAS E DIVERGÊNCIAS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As dúvidas advindas em relação à presente Convenção Coletiva de Trabalho serão dirimidas por todos os meios possíveis de conciliação e, caso não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se chegue a um bom termo, perante a Justiça do Trabalho.</w:t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  <w:t xml:space="preserve">CLÁUSULA OITAVA - MULTA POR DESCUMPRIMENTO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A infração a quaisquer das Cláusulas deste instrumento, sujeitará à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empresa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infratora, a multa equivalente a R$ 240,00 (duzentos e quarenta reais). Na reincidência, o total deverá ser acrescido de 50% (cinquenta por cento). As imortâncias reverterão em favor do Sindicato dos Empregados no Comércio do Rio de Janeiro.</w:t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Outr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  <w:t xml:space="preserve">CLÁUSULA NONA - PRORROGAÇÃO DAS DEMAIS CLÁUSULAS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pStyle w:val="western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Os Sindicatos convenentes prorrogam todas as demais cláusulas da Convenção Coletiva de Trabalho 2014/2015 pelo prazo de 12 meses a contar de 12 de maio de 2015,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reajustando-se os pisos 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os salários conforme acima estipulado.</w:t>
                  </w:r>
                </w:p>
                <w:p w:rsidR="00000000" w:rsidRDefault="005037E5">
                  <w:pPr>
                    <w:spacing w:after="280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14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037E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CARLOS NUNES DOS SANTOS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Membro da Junta Governativa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EMPREGADOS NO COMERCIO DO RIO DE JANEIRO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MANOEL BIRMARCKER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COMERCIO ATACADISTA DROGAS MEDICAMENTOS ERJ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00000" w:rsidRDefault="005037E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ANEXO I - CONVENÇÃO COLETIVA DE TRABALHO 2014/2015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1" name="Imagem 1" descr="http://www3.mte.gov.br/sistemas/mediador/imagemAnexo/MR025438_20152015_05_08T13_57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3.mte.gov.br/sistemas/mediador/imagemAnexo/MR025438_20152015_05_08T13_57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2" name="Imagem 2" descr="http://www3.mte.gov.br/sistemas/mediador/imagemAnexo/MR025438_20152015_05_08T13_57_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3.mte.gov.br/sistemas/mediador/imagemAnexo/MR025438_20152015_05_08T13_57_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3" name="Imagem 3" descr="http://www3.mte.gov.br/sistemas/mediador/imagemAnexo/MR025438_20152015_05_08T13_57_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3.mte.gov.br/sistemas/mediador/imagemAnexo/MR025438_20152015_05_08T13_57_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4" name="Imagem 4" descr="http://www3.mte.gov.br/sistemas/mediador/imagemAnexo/MR025438_20152015_05_08T13_57_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3.mte.gov.br/sistemas/mediador/imagemAnexo/MR025438_20152015_05_08T13_57_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5" name="Imagem 5" descr="http://www3.mte.gov.br/sistemas/mediador/imagemAnexo/MR025438_20152015_05_08T13_57_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3.mte.gov.br/sistemas/mediador/imagemAnexo/MR025438_20152015_05_08T13_57_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6" name="Imagem 6" descr="http://www3.mte.gov.br/sistemas/mediador/imagemAnexo/MR025438_20152015_05_08T13_57_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3.mte.gov.br/sistemas/mediador/imagemAnexo/MR025438_20152015_05_08T13_57_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7" name="Imagem 7" descr="http://www3.mte.gov.br/sistemas/mediador/imagemAnexo/MR025438_20152015_05_08T13_58_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3.mte.gov.br/sistemas/mediador/imagemAnexo/MR025438_20152015_05_08T13_58_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8" name="Imagem 8" descr="http://www3.mte.gov.br/sistemas/mediador/imagemAnexo/MR025438_20152015_05_08T13_58_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3.mte.gov.br/sistemas/mediador/imagemAnexo/MR025438_20152015_05_08T13_58_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9" name="Imagem 9" descr="http://www3.mte.gov.br/sistemas/mediador/imagemAnexo/MR025438_20152015_05_08T13_58_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3.mte.gov.br/sistemas/mediador/imagemAnexo/MR025438_20152015_05_08T13_58_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915025" cy="8362950"/>
                        <wp:effectExtent l="19050" t="0" r="9525" b="0"/>
                        <wp:docPr id="10" name="Imagem 10" descr="http://www3.mte.gov.br/sistemas/mediador/imagemAnexo/MR025438_20152015_05_08T13_58_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3.mte.gov.br/sistemas/mediador/imagemAnexo/MR025438_20152015_05_08T13_58_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5025" cy="836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5037E5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    A autenticidade deste documento poderá ser confirmada na página do 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Ministério do Trabalho e Emprego na Internet, no endereço http://www.mte.gov.br.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00000" w:rsidRDefault="005037E5">
            <w:pPr>
              <w:rPr>
                <w:rFonts w:eastAsia="Times New Roman"/>
              </w:rPr>
            </w:pPr>
          </w:p>
        </w:tc>
      </w:tr>
    </w:tbl>
    <w:p w:rsidR="005037E5" w:rsidRDefault="005037E5">
      <w:pPr>
        <w:rPr>
          <w:rFonts w:eastAsia="Times New Roman"/>
        </w:rPr>
      </w:pPr>
    </w:p>
    <w:sectPr w:rsidR="005037E5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D85B4B"/>
    <w:rsid w:val="005037E5"/>
    <w:rsid w:val="00505F50"/>
    <w:rsid w:val="00D8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36"/>
      <w:szCs w:val="36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  <w:sz w:val="32"/>
      <w:szCs w:val="32"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western">
    <w:name w:val="western"/>
    <w:basedOn w:val="Normal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F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F5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3.mte.gov.br/sistemas/mediador/imagemAnexo/MR025438_20152015_05_08T13_57_40.jpg" TargetMode="External"/><Relationship Id="rId13" Type="http://schemas.openxmlformats.org/officeDocument/2006/relationships/image" Target="http://www3.mte.gov.br/sistemas/mediador/imagemAnexo/MR025438_20152015_05_08T13_58_38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3.mte.gov.br/sistemas/mediador/imagemAnexo/MR025438_20152015_05_08T13_57_33.jpg" TargetMode="External"/><Relationship Id="rId12" Type="http://schemas.openxmlformats.org/officeDocument/2006/relationships/image" Target="http://www3.mte.gov.br/sistemas/mediador/imagemAnexo/MR025438_20152015_05_08T13_58_2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3.mte.gov.br/sistemas/mediador/imagemAnexo/MR025438_20152015_05_08T13_57_23.jpg" TargetMode="External"/><Relationship Id="rId11" Type="http://schemas.openxmlformats.org/officeDocument/2006/relationships/image" Target="http://www3.mte.gov.br/sistemas/mediador/imagemAnexo/MR025438_20152015_05_08T13_58_17.jpg" TargetMode="External"/><Relationship Id="rId5" Type="http://schemas.openxmlformats.org/officeDocument/2006/relationships/image" Target="http://www3.mte.gov.br/sistemas/mediador/imagemAnexo/MR025438_20152015_05_08T13_57_15.jpg" TargetMode="External"/><Relationship Id="rId15" Type="http://schemas.openxmlformats.org/officeDocument/2006/relationships/theme" Target="theme/theme1.xml"/><Relationship Id="rId10" Type="http://schemas.openxmlformats.org/officeDocument/2006/relationships/image" Target="http://www3.mte.gov.br/sistemas/mediador/imagemAnexo/MR025438_20152015_05_08T13_58_03.jpg" TargetMode="External"/><Relationship Id="rId4" Type="http://schemas.openxmlformats.org/officeDocument/2006/relationships/image" Target="http://www3.mte.gov.br/sistemas/mediador/imagemAnexo/MR025438_20152015_05_08T13_57_01.jpg" TargetMode="External"/><Relationship Id="rId9" Type="http://schemas.openxmlformats.org/officeDocument/2006/relationships/image" Target="http://www3.mte.gov.br/sistemas/mediador/imagemAnexo/MR025438_20152015_05_08T13_57_5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1552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Tatiane</dc:creator>
  <cp:lastModifiedBy>Tatiane</cp:lastModifiedBy>
  <cp:revision>2</cp:revision>
  <dcterms:created xsi:type="dcterms:W3CDTF">2015-06-22T14:10:00Z</dcterms:created>
  <dcterms:modified xsi:type="dcterms:W3CDTF">2015-06-22T14:10:00Z</dcterms:modified>
</cp:coreProperties>
</file>